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58F1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079AA">
        <w:rPr>
          <w:rFonts w:ascii="Arial" w:hAnsi="Arial" w:cs="Arial"/>
          <w:b/>
          <w:bCs/>
          <w:sz w:val="20"/>
          <w:szCs w:val="20"/>
        </w:rPr>
        <w:t>118 Conservación del tiburón martillo festoneado (</w:t>
      </w:r>
      <w:r w:rsidRPr="00A079AA">
        <w:rPr>
          <w:rFonts w:ascii="Arial" w:hAnsi="Arial" w:cs="Arial"/>
          <w:b/>
          <w:bCs/>
          <w:i/>
          <w:iCs/>
          <w:sz w:val="20"/>
          <w:szCs w:val="20"/>
        </w:rPr>
        <w:t>Sphyrna lewini</w:t>
      </w:r>
      <w:r w:rsidRPr="00A079AA">
        <w:rPr>
          <w:rFonts w:ascii="Arial" w:hAnsi="Arial" w:cs="Arial"/>
          <w:b/>
          <w:bCs/>
          <w:sz w:val="20"/>
          <w:szCs w:val="20"/>
        </w:rPr>
        <w:t>), En Peligro Crítico, y de sus especies semejantes, el tiburón martillo liso (</w:t>
      </w:r>
      <w:r w:rsidRPr="00A079AA">
        <w:rPr>
          <w:rFonts w:ascii="Arial" w:hAnsi="Arial" w:cs="Arial"/>
          <w:b/>
          <w:bCs/>
          <w:i/>
          <w:iCs/>
          <w:sz w:val="20"/>
          <w:szCs w:val="20"/>
        </w:rPr>
        <w:t>S. zygaena</w:t>
      </w:r>
      <w:r w:rsidRPr="00A079AA">
        <w:rPr>
          <w:rFonts w:ascii="Arial" w:hAnsi="Arial" w:cs="Arial"/>
          <w:b/>
          <w:bCs/>
          <w:sz w:val="20"/>
          <w:szCs w:val="20"/>
        </w:rPr>
        <w:t>) y el tiburón martillo gigante (</w:t>
      </w:r>
      <w:r w:rsidRPr="00A079AA">
        <w:rPr>
          <w:rFonts w:ascii="Arial" w:hAnsi="Arial" w:cs="Arial"/>
          <w:b/>
          <w:bCs/>
          <w:i/>
          <w:iCs/>
          <w:sz w:val="20"/>
          <w:szCs w:val="20"/>
        </w:rPr>
        <w:t>S. mokarran</w:t>
      </w:r>
      <w:r w:rsidRPr="00A079AA">
        <w:rPr>
          <w:rFonts w:ascii="Arial" w:hAnsi="Arial" w:cs="Arial"/>
          <w:b/>
          <w:bCs/>
          <w:sz w:val="20"/>
          <w:szCs w:val="20"/>
        </w:rPr>
        <w:t>)</w:t>
      </w:r>
    </w:p>
    <w:p w14:paraId="20AB5F22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1EA9991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CONSIDERANDO que el </w:t>
      </w:r>
      <w:r w:rsidRPr="00A079AA">
        <w:rPr>
          <w:rFonts w:ascii="Arial" w:hAnsi="Arial" w:cs="Arial"/>
          <w:i/>
          <w:iCs/>
          <w:sz w:val="20"/>
          <w:szCs w:val="20"/>
        </w:rPr>
        <w:t>Sphyrna lewini</w:t>
      </w:r>
      <w:r w:rsidRPr="00A079AA">
        <w:rPr>
          <w:rFonts w:ascii="Arial" w:hAnsi="Arial" w:cs="Arial"/>
          <w:sz w:val="20"/>
          <w:szCs w:val="20"/>
        </w:rPr>
        <w:t xml:space="preserve"> (tiburón martillo festoneado) fue clasificado como En Peligro Crítico por la Lista Roja de la UICN de Especies Amenazadas</w:t>
      </w:r>
      <w:r w:rsidRPr="00A079AA">
        <w:rPr>
          <w:rFonts w:ascii="Arial" w:hAnsi="Arial" w:cs="Arial"/>
          <w:sz w:val="20"/>
          <w:szCs w:val="20"/>
          <w:vertAlign w:val="superscript"/>
        </w:rPr>
        <w:t>TM</w:t>
      </w:r>
      <w:r w:rsidRPr="00A079AA">
        <w:rPr>
          <w:rFonts w:ascii="Arial" w:hAnsi="Arial" w:cs="Arial"/>
          <w:sz w:val="20"/>
          <w:szCs w:val="20"/>
        </w:rPr>
        <w:t xml:space="preserve"> en 2019 debido a una disminución global de la población del 76,9 al 97,3 %, con una reducción &gt;80 % en tres generaciones (72,3 años), y que el </w:t>
      </w:r>
      <w:r w:rsidRPr="00A079AA">
        <w:rPr>
          <w:rFonts w:ascii="Arial" w:hAnsi="Arial" w:cs="Arial"/>
          <w:i/>
          <w:iCs/>
          <w:sz w:val="20"/>
          <w:szCs w:val="20"/>
        </w:rPr>
        <w:t>Living Planet Index</w:t>
      </w:r>
      <w:r w:rsidRPr="00A079AA">
        <w:rPr>
          <w:rFonts w:ascii="Arial" w:hAnsi="Arial" w:cs="Arial"/>
          <w:sz w:val="20"/>
          <w:szCs w:val="20"/>
        </w:rPr>
        <w:t xml:space="preserve"> (Índice Planeta Vivo) registró una disminución del 67 % en la abundancia desde 1970, en gran parte impulsada por un aumento de 18 veces en la presión pesquera;</w:t>
      </w:r>
    </w:p>
    <w:p w14:paraId="5379C796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2D4721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CONSCIENTE de que la principal amenaza para el </w:t>
      </w:r>
      <w:r w:rsidRPr="00A079AA">
        <w:rPr>
          <w:rFonts w:ascii="Arial" w:hAnsi="Arial" w:cs="Arial"/>
          <w:i/>
          <w:iCs/>
          <w:sz w:val="20"/>
          <w:szCs w:val="20"/>
        </w:rPr>
        <w:t>S. lewini</w:t>
      </w:r>
      <w:r w:rsidRPr="00A079AA">
        <w:rPr>
          <w:rFonts w:ascii="Arial" w:hAnsi="Arial" w:cs="Arial"/>
          <w:sz w:val="20"/>
          <w:szCs w:val="20"/>
        </w:rPr>
        <w:t xml:space="preserve"> es la demanda internacional de aletas de tiburón procedentes de las pesquerías de palangre y de cerco en alta mar que operan dentro de las Zonas Económicas Exclusivas (ZEE) de las naciones costeras y en aguas internacionales;</w:t>
      </w:r>
    </w:p>
    <w:p w14:paraId="622AA638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7EB0D6" w14:textId="77777777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PREOCUPADO por el hecho de que las actuales medidas de conservación y gestión de tiburones amenazados se centran en la remediación, como prohibiciones de retención, prohibiciones de cercenamiento de aletas y directrices de liberación, en lugar de medidas proactivas para evitar, minimizar o compensar la captura accidental;</w:t>
      </w:r>
    </w:p>
    <w:p w14:paraId="035A3521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43BBBB" w14:textId="72C595BF" w:rsidR="003321A2" w:rsidRPr="00A079AA" w:rsidRDefault="003321A2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Hlk211271006"/>
      <w:r w:rsidRPr="00A079AA">
        <w:rPr>
          <w:rFonts w:ascii="Arial" w:hAnsi="Arial" w:cs="Arial"/>
          <w:sz w:val="20"/>
          <w:szCs w:val="20"/>
        </w:rPr>
        <w:t xml:space="preserve">RECONOCIENDO </w:t>
      </w:r>
      <w:r w:rsidR="004962BE" w:rsidRPr="00A079AA">
        <w:rPr>
          <w:rFonts w:ascii="Arial" w:hAnsi="Arial" w:cs="Arial"/>
          <w:sz w:val="20"/>
          <w:szCs w:val="20"/>
        </w:rPr>
        <w:t xml:space="preserve">el valor de </w:t>
      </w:r>
      <w:r w:rsidRPr="00A079AA">
        <w:rPr>
          <w:rFonts w:ascii="Arial" w:hAnsi="Arial" w:cs="Arial"/>
          <w:sz w:val="20"/>
          <w:szCs w:val="20"/>
        </w:rPr>
        <w:t>las medidas correctivas</w:t>
      </w:r>
      <w:r w:rsidR="007037B0" w:rsidRPr="00A079AA">
        <w:rPr>
          <w:rFonts w:ascii="Arial" w:hAnsi="Arial" w:cs="Arial"/>
          <w:sz w:val="20"/>
          <w:szCs w:val="20"/>
        </w:rPr>
        <w:t xml:space="preserve"> de las iniciativas de conservación </w:t>
      </w:r>
      <w:r w:rsidRPr="00A079AA">
        <w:rPr>
          <w:rFonts w:ascii="Arial" w:hAnsi="Arial" w:cs="Arial"/>
          <w:sz w:val="20"/>
          <w:szCs w:val="20"/>
        </w:rPr>
        <w:t xml:space="preserve">para el </w:t>
      </w:r>
      <w:r w:rsidRPr="00A079AA">
        <w:rPr>
          <w:rFonts w:ascii="Arial" w:hAnsi="Arial" w:cs="Arial"/>
          <w:i/>
          <w:iCs/>
          <w:sz w:val="20"/>
          <w:szCs w:val="20"/>
        </w:rPr>
        <w:t>S.</w:t>
      </w:r>
      <w:r w:rsidR="004962BE" w:rsidRPr="00A079AA">
        <w:rPr>
          <w:rFonts w:ascii="Arial" w:hAnsi="Arial" w:cs="Arial"/>
          <w:i/>
          <w:iCs/>
          <w:sz w:val="20"/>
          <w:szCs w:val="20"/>
        </w:rPr>
        <w:t> </w:t>
      </w:r>
      <w:r w:rsidRPr="00A079AA">
        <w:rPr>
          <w:rFonts w:ascii="Arial" w:hAnsi="Arial" w:cs="Arial"/>
          <w:i/>
          <w:iCs/>
          <w:sz w:val="20"/>
          <w:szCs w:val="20"/>
        </w:rPr>
        <w:t>lewini</w:t>
      </w:r>
      <w:r w:rsidR="0056054E" w:rsidRPr="00A079AA">
        <w:rPr>
          <w:rFonts w:ascii="Arial" w:hAnsi="Arial" w:cs="Arial"/>
          <w:sz w:val="20"/>
          <w:szCs w:val="20"/>
        </w:rPr>
        <w:t xml:space="preserve">, y observando además que, </w:t>
      </w:r>
      <w:r w:rsidRPr="00A079AA">
        <w:rPr>
          <w:rFonts w:ascii="Arial" w:hAnsi="Arial" w:cs="Arial"/>
          <w:sz w:val="20"/>
          <w:szCs w:val="20"/>
        </w:rPr>
        <w:t>debido a la elevada mortalidad en el buque</w:t>
      </w:r>
      <w:r w:rsidR="0098052B" w:rsidRPr="00A079AA">
        <w:rPr>
          <w:rFonts w:ascii="Arial" w:hAnsi="Arial" w:cs="Arial"/>
          <w:sz w:val="20"/>
          <w:szCs w:val="20"/>
        </w:rPr>
        <w:t xml:space="preserve"> en alta mar</w:t>
      </w:r>
      <w:r w:rsidRPr="00A079AA">
        <w:rPr>
          <w:rFonts w:ascii="Arial" w:hAnsi="Arial" w:cs="Arial"/>
          <w:sz w:val="20"/>
          <w:szCs w:val="20"/>
        </w:rPr>
        <w:t xml:space="preserve"> y la mortalidad tras la captura, </w:t>
      </w:r>
      <w:r w:rsidR="004962BE" w:rsidRPr="00A079AA">
        <w:rPr>
          <w:rFonts w:ascii="Arial" w:hAnsi="Arial" w:cs="Arial"/>
          <w:sz w:val="20"/>
          <w:szCs w:val="20"/>
        </w:rPr>
        <w:t>la prevención de las capturas incidentales sigue siendo la estrategia de conservación más eficaz;</w:t>
      </w:r>
      <w:bookmarkEnd w:id="0"/>
    </w:p>
    <w:p w14:paraId="2E4A27B4" w14:textId="77777777" w:rsidR="00E40DB0" w:rsidRPr="00A079AA" w:rsidRDefault="00E40DB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E359EF" w14:textId="77777777" w:rsidR="00E40DB0" w:rsidRPr="00A079AA" w:rsidRDefault="00E40DB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RECONOCIENDO ADEMÁS que las medidas de conservación y gestión bien aplicadas pueden conducir a una recuperación localizada de la población, como se ha visto en el Atlántico Noroccidental y en México, pero que las poblaciones mundiales siguen disminuyendo debido a los limitados recursos técnicos y financieros de muchas naciones; y</w:t>
      </w:r>
    </w:p>
    <w:p w14:paraId="22DC91E6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073876" w14:textId="36E14C37" w:rsidR="009B1459" w:rsidRPr="00A079AA" w:rsidRDefault="009B145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79BA">
        <w:rPr>
          <w:rFonts w:ascii="Arial" w:hAnsi="Arial" w:cs="Arial"/>
          <w:sz w:val="20"/>
          <w:szCs w:val="20"/>
        </w:rPr>
        <w:t xml:space="preserve">CONSCIENTE TAMBIÉN de que la inclusión del </w:t>
      </w:r>
      <w:r w:rsidRPr="00F379BA">
        <w:rPr>
          <w:rFonts w:ascii="Arial" w:hAnsi="Arial" w:cs="Arial"/>
          <w:i/>
          <w:iCs/>
          <w:sz w:val="20"/>
          <w:szCs w:val="20"/>
        </w:rPr>
        <w:t>S. lewini</w:t>
      </w:r>
      <w:r w:rsidRPr="00F379BA">
        <w:rPr>
          <w:rFonts w:ascii="Arial" w:hAnsi="Arial" w:cs="Arial"/>
          <w:sz w:val="20"/>
          <w:szCs w:val="20"/>
        </w:rPr>
        <w:t xml:space="preserve"> en el Apéndice I de la Convención sobre el Comercio Internacional de Especies Amenazadas de Fauna y Flora Silvestres (CITES) prohibiría las transacciones internacionales con fines comerciales de aletas, apoyaría las prohibiciones nacionales y ayudaría a las Organizaciones Regionales de Ordenación Pesquera (OROP) a hacer cumplir la prohibición de comercializar productos derivados del tiburón martillo. Tales medidas sentarían las bases para medidas adicionales que aseguren la supervivencia de la especie y la futura recuperación de su población;</w:t>
      </w:r>
    </w:p>
    <w:p w14:paraId="31EFCBA6" w14:textId="584F7E01" w:rsidR="009B1459" w:rsidRPr="00A079AA" w:rsidRDefault="009B1459" w:rsidP="009E338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079AA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br/>
      </w:r>
      <w:r w:rsidRPr="00A079AA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4B063183" w14:textId="57646044" w:rsidR="00956DCD" w:rsidRPr="00A079AA" w:rsidRDefault="00956DCD" w:rsidP="009E3382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</w:p>
    <w:p w14:paraId="0DF29927" w14:textId="77777777" w:rsidR="00796999" w:rsidRPr="00A079AA" w:rsidRDefault="0079699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1. INSTA a todos los estados del área de distribución de los tiburones martillo, a los Estados pesqueros, a otras entidades y a las OROP pertinentes a que:</w:t>
      </w:r>
    </w:p>
    <w:p w14:paraId="605A9427" w14:textId="77777777" w:rsidR="00796999" w:rsidRPr="00A079AA" w:rsidRDefault="0079699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127329" w14:textId="3CE45B96" w:rsidR="00796999" w:rsidRPr="00A079AA" w:rsidRDefault="00796999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a. como primer paso, apliquen prohibiciones de retención del </w:t>
      </w:r>
      <w:r w:rsidRPr="00A079AA">
        <w:rPr>
          <w:rFonts w:ascii="Arial" w:hAnsi="Arial" w:cs="Arial"/>
          <w:i/>
          <w:iCs/>
          <w:sz w:val="20"/>
          <w:szCs w:val="20"/>
        </w:rPr>
        <w:t>S. lewini</w:t>
      </w:r>
      <w:r w:rsidRPr="00A079AA">
        <w:rPr>
          <w:rFonts w:ascii="Arial" w:hAnsi="Arial" w:cs="Arial"/>
          <w:sz w:val="20"/>
          <w:szCs w:val="20"/>
        </w:rPr>
        <w:t xml:space="preserve"> en las pesquerías dentro de su jurisdicción, y prohíban retener a bordo, transbordar, desembarcar, almacenar, vender u ofrecer a la venta productos de la especie (incluso bajo definiciones erróneas);</w:t>
      </w:r>
    </w:p>
    <w:p w14:paraId="13576D7F" w14:textId="77777777" w:rsidR="00543740" w:rsidRPr="00A079AA" w:rsidRDefault="0054374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8C0D6" w14:textId="2261193A" w:rsidR="00CB4F94" w:rsidRPr="00A079AA" w:rsidRDefault="00F32E41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b. apliquen vedas estacionales y/o zonales específicas para cada especie, basadas en datos científicos, en particular zonas de veda total o áreas marinas totalmente protegidas</w:t>
      </w:r>
      <w:r w:rsidR="00543740" w:rsidRPr="00A079AA">
        <w:rPr>
          <w:rFonts w:ascii="Arial" w:hAnsi="Arial" w:cs="Arial"/>
          <w:sz w:val="20"/>
          <w:szCs w:val="20"/>
        </w:rPr>
        <w:t xml:space="preserve">, </w:t>
      </w:r>
      <w:r w:rsidR="00CB4F94" w:rsidRPr="00A079AA">
        <w:rPr>
          <w:rFonts w:ascii="Arial" w:hAnsi="Arial" w:cs="Arial"/>
          <w:sz w:val="20"/>
          <w:szCs w:val="20"/>
        </w:rPr>
        <w:t xml:space="preserve">según proceda, </w:t>
      </w:r>
      <w:r w:rsidR="00CB4F94" w:rsidRPr="00A079AA">
        <w:rPr>
          <w:rFonts w:ascii="Arial" w:hAnsi="Arial" w:cs="Arial"/>
          <w:color w:val="000000" w:themeColor="text1"/>
          <w:sz w:val="20"/>
          <w:szCs w:val="20"/>
        </w:rPr>
        <w:t>límites de interacción, reglas de cambio de área (disposiciones “</w:t>
      </w:r>
      <w:r w:rsidR="00CB4F94" w:rsidRPr="00A079AA">
        <w:rPr>
          <w:rFonts w:ascii="Arial" w:hAnsi="Arial" w:cs="Arial"/>
          <w:i/>
          <w:iCs/>
          <w:color w:val="000000" w:themeColor="text1"/>
          <w:sz w:val="20"/>
          <w:szCs w:val="20"/>
        </w:rPr>
        <w:t>move-on</w:t>
      </w:r>
      <w:r w:rsidR="00CB4F94" w:rsidRPr="00A079AA">
        <w:rPr>
          <w:rFonts w:ascii="Arial" w:hAnsi="Arial" w:cs="Arial"/>
          <w:color w:val="000000" w:themeColor="text1"/>
          <w:sz w:val="20"/>
          <w:szCs w:val="20"/>
        </w:rPr>
        <w:t xml:space="preserve">”), controles del esfuerzo de pesca, restricciones y/o modificaciones de artes de pesca en zonas de hábitat </w:t>
      </w:r>
      <w:r w:rsidR="00CB4F94" w:rsidRPr="00A079AA">
        <w:rPr>
          <w:rFonts w:ascii="Arial" w:hAnsi="Arial" w:cs="Arial"/>
          <w:sz w:val="20"/>
          <w:szCs w:val="20"/>
        </w:rPr>
        <w:t xml:space="preserve">definidas como “Áreas Importantes para Tiburones y Rayas” u otras zonas identificadas como importantes por procesos nacionales u otros procesos pertinentes para el </w:t>
      </w:r>
      <w:r w:rsidR="00CB4F94" w:rsidRPr="00A079AA">
        <w:rPr>
          <w:rFonts w:ascii="Arial" w:hAnsi="Arial" w:cs="Arial"/>
          <w:i/>
          <w:iCs/>
          <w:sz w:val="20"/>
          <w:szCs w:val="20"/>
        </w:rPr>
        <w:t>S. lewini</w:t>
      </w:r>
      <w:r w:rsidR="00CB4F94" w:rsidRPr="00A079AA">
        <w:rPr>
          <w:rFonts w:ascii="Arial" w:hAnsi="Arial" w:cs="Arial"/>
          <w:sz w:val="20"/>
          <w:szCs w:val="20"/>
        </w:rPr>
        <w:t xml:space="preserve"> y otras especies de tiburones martillo; y</w:t>
      </w:r>
    </w:p>
    <w:p w14:paraId="371A394A" w14:textId="7D7ACA39" w:rsidR="00CB4F94" w:rsidRPr="00A079AA" w:rsidRDefault="00CB4F9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 xml:space="preserve"> </w:t>
      </w:r>
      <w:r w:rsidRPr="00A079AA">
        <w:rPr>
          <w:rFonts w:ascii="Arial" w:hAnsi="Arial" w:cs="Arial"/>
          <w:i/>
          <w:iCs/>
          <w:sz w:val="20"/>
          <w:szCs w:val="20"/>
        </w:rPr>
        <w:t>S. lewini</w:t>
      </w:r>
      <w:r w:rsidRPr="00A079AA">
        <w:rPr>
          <w:rFonts w:ascii="Arial" w:hAnsi="Arial" w:cs="Arial"/>
          <w:sz w:val="20"/>
          <w:szCs w:val="20"/>
        </w:rPr>
        <w:t xml:space="preserve"> y otras especies de tiburones martillo; y</w:t>
      </w:r>
    </w:p>
    <w:p w14:paraId="38A604D4" w14:textId="77777777" w:rsidR="009827E7" w:rsidRPr="00A079AA" w:rsidRDefault="009827E7" w:rsidP="009E3382">
      <w:pPr>
        <w:spacing w:after="0" w:line="240" w:lineRule="auto"/>
        <w:rPr>
          <w:rFonts w:ascii="Arial" w:hAnsi="Arial"/>
          <w:sz w:val="20"/>
        </w:rPr>
      </w:pPr>
    </w:p>
    <w:p w14:paraId="7598A8B3" w14:textId="7A605CDC" w:rsidR="00543740" w:rsidRPr="00A079AA" w:rsidRDefault="0054374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t>c. adopten controles estrictos de seguimiento y aplicación para evitar la pesca ilegal, no declarada y no reglamentada, y velen por que no se produzca la pesca ilegal de tiburones martillo;</w:t>
      </w:r>
    </w:p>
    <w:p w14:paraId="018DBBDB" w14:textId="7C8CC2CD" w:rsidR="67BB9EAE" w:rsidRPr="00A079AA" w:rsidRDefault="67BB9EAE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094F33" w14:textId="77777777" w:rsidR="004118C4" w:rsidRPr="00A079AA" w:rsidRDefault="004118C4" w:rsidP="009E3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963BC9" w14:textId="51451918" w:rsidR="00543740" w:rsidRPr="00A079AA" w:rsidRDefault="00543740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79AA">
        <w:rPr>
          <w:rFonts w:ascii="Arial" w:hAnsi="Arial" w:cs="Arial"/>
          <w:sz w:val="20"/>
          <w:szCs w:val="20"/>
        </w:rPr>
        <w:lastRenderedPageBreak/>
        <w:t>2. ALIENTA a los estados costeros pertinentes a promover la generación de conocimientos científicos sobre la evaluación de las poblaciones, la identificación de las colonias costeras y la conectividad biológica en alta mar, para el establecimiento de políticas científicas basadas en la conservación;</w:t>
      </w:r>
    </w:p>
    <w:p w14:paraId="292BB275" w14:textId="2E156560" w:rsidR="00A079AA" w:rsidRPr="00A079AA" w:rsidRDefault="00A079AA" w:rsidP="009E3382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  <w:bookmarkStart w:id="1" w:name="_Hlk211274787"/>
    </w:p>
    <w:p w14:paraId="0C6A0A2C" w14:textId="297AC9C0" w:rsidR="00A079AA" w:rsidRPr="00F379BA" w:rsidRDefault="00A079AA" w:rsidP="009E338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379BA">
        <w:rPr>
          <w:rFonts w:ascii="Arial" w:hAnsi="Arial" w:cs="Arial"/>
          <w:sz w:val="20"/>
          <w:szCs w:val="20"/>
        </w:rPr>
        <w:t>RECOMIENDA que las Partes en la CITES, de conformidad con los procesos nacionales que procedan, consideren la transferencia del tiburón martillo festoneado (</w:t>
      </w:r>
      <w:r w:rsidRPr="00F379BA">
        <w:rPr>
          <w:rFonts w:ascii="Arial" w:hAnsi="Arial" w:cs="Arial"/>
          <w:i/>
          <w:iCs/>
          <w:sz w:val="20"/>
          <w:szCs w:val="20"/>
        </w:rPr>
        <w:t>Sphyrna lewini</w:t>
      </w:r>
      <w:r w:rsidRPr="00F379BA">
        <w:rPr>
          <w:rFonts w:ascii="Arial" w:hAnsi="Arial" w:cs="Arial"/>
          <w:sz w:val="20"/>
          <w:szCs w:val="20"/>
        </w:rPr>
        <w:t>) y [sus especies similares, el tiburón martillo liso (</w:t>
      </w:r>
      <w:r w:rsidRPr="00F379BA">
        <w:rPr>
          <w:rFonts w:ascii="Arial" w:hAnsi="Arial" w:cs="Arial"/>
          <w:i/>
          <w:iCs/>
          <w:sz w:val="20"/>
          <w:szCs w:val="20"/>
        </w:rPr>
        <w:t>S. zygaena</w:t>
      </w:r>
      <w:r w:rsidRPr="00F379BA">
        <w:rPr>
          <w:rFonts w:ascii="Arial" w:hAnsi="Arial" w:cs="Arial"/>
          <w:sz w:val="20"/>
          <w:szCs w:val="20"/>
        </w:rPr>
        <w:t>) y el tiburón martillo gigante (</w:t>
      </w:r>
      <w:r w:rsidRPr="00F379BA">
        <w:rPr>
          <w:rFonts w:ascii="Arial" w:hAnsi="Arial" w:cs="Arial"/>
          <w:i/>
          <w:iCs/>
          <w:sz w:val="20"/>
          <w:szCs w:val="20"/>
        </w:rPr>
        <w:t>S. mokarran</w:t>
      </w:r>
      <w:r w:rsidRPr="00F379BA">
        <w:rPr>
          <w:rFonts w:ascii="Arial" w:hAnsi="Arial" w:cs="Arial"/>
          <w:sz w:val="20"/>
          <w:szCs w:val="20"/>
        </w:rPr>
        <w:t>)] [otras especies de tiburones martillo, según proceda], del Apéndice II al Apéndice I [, cuando las pruebas disponibles indiquen que estas especies cumplen los criterios pertinentes de inclusión en la CITES], de conformidad con la Resolución Conf. 9.24 (Rev. CoP17) de la CITES, Anexo 1: Criterio C</w:t>
      </w:r>
      <w:r w:rsidR="00F379BA" w:rsidRPr="00F379BA">
        <w:rPr>
          <w:rFonts w:ascii="Arial" w:hAnsi="Arial" w:cs="Arial"/>
          <w:sz w:val="20"/>
          <w:szCs w:val="20"/>
        </w:rPr>
        <w:t>; y</w:t>
      </w:r>
      <w:r w:rsidRPr="00F379BA">
        <w:rPr>
          <w:rFonts w:ascii="Arial" w:hAnsi="Arial" w:cs="Arial"/>
          <w:sz w:val="20"/>
          <w:szCs w:val="20"/>
        </w:rPr>
        <w:t xml:space="preserve"> </w:t>
      </w:r>
    </w:p>
    <w:bookmarkEnd w:id="1"/>
    <w:p w14:paraId="165C48DB" w14:textId="77777777" w:rsidR="009E3382" w:rsidRPr="00F379BA" w:rsidRDefault="009E3382" w:rsidP="009E3382">
      <w:pPr>
        <w:spacing w:after="0" w:line="240" w:lineRule="auto"/>
        <w:rPr>
          <w:rFonts w:ascii="Arial" w:hAnsi="Arial"/>
          <w:sz w:val="20"/>
        </w:rPr>
      </w:pPr>
    </w:p>
    <w:p w14:paraId="00FCACBF" w14:textId="0CD70862" w:rsidR="00A079AA" w:rsidRPr="00A079AA" w:rsidRDefault="00A079AA" w:rsidP="009E3382">
      <w:pPr>
        <w:spacing w:after="0" w:line="240" w:lineRule="auto"/>
        <w:rPr>
          <w:rFonts w:ascii="Arial" w:hAnsi="Arial"/>
          <w:sz w:val="20"/>
        </w:rPr>
      </w:pPr>
      <w:r w:rsidRPr="00F379BA">
        <w:rPr>
          <w:rFonts w:ascii="Arial" w:hAnsi="Arial"/>
          <w:sz w:val="20"/>
        </w:rPr>
        <w:t>RECOMIENDA que las Partes en la CITES estudien la posibilidad de adoptar medidas de protección más estrictas para el tiburón martillo festoneado (</w:t>
      </w:r>
      <w:r w:rsidRPr="00F379BA">
        <w:rPr>
          <w:rFonts w:ascii="Arial" w:hAnsi="Arial"/>
          <w:i/>
          <w:iCs/>
          <w:sz w:val="20"/>
        </w:rPr>
        <w:t>Sphyrna lewini</w:t>
      </w:r>
      <w:r w:rsidRPr="00F379BA">
        <w:rPr>
          <w:rFonts w:ascii="Arial" w:hAnsi="Arial"/>
          <w:sz w:val="20"/>
        </w:rPr>
        <w:t>) y sus especies similares, el tiburón martillo liso (</w:t>
      </w:r>
      <w:r w:rsidRPr="00F379BA">
        <w:rPr>
          <w:rFonts w:ascii="Arial" w:hAnsi="Arial"/>
          <w:i/>
          <w:iCs/>
          <w:sz w:val="20"/>
        </w:rPr>
        <w:t>S. zygaena</w:t>
      </w:r>
      <w:r w:rsidRPr="00F379BA">
        <w:rPr>
          <w:rFonts w:ascii="Arial" w:hAnsi="Arial"/>
          <w:sz w:val="20"/>
        </w:rPr>
        <w:t>) y el tiburón martillo gigante (</w:t>
      </w:r>
      <w:r w:rsidRPr="00F379BA">
        <w:rPr>
          <w:rFonts w:ascii="Arial" w:hAnsi="Arial"/>
          <w:i/>
          <w:iCs/>
          <w:sz w:val="20"/>
        </w:rPr>
        <w:t>S. mokarran</w:t>
      </w:r>
      <w:r w:rsidRPr="00F379BA">
        <w:rPr>
          <w:rFonts w:ascii="Arial" w:hAnsi="Arial"/>
          <w:sz w:val="20"/>
        </w:rPr>
        <w:t>)</w:t>
      </w:r>
      <w:r w:rsidR="00F379BA" w:rsidRPr="00F379BA">
        <w:rPr>
          <w:rFonts w:ascii="Arial" w:hAnsi="Arial"/>
          <w:sz w:val="20"/>
        </w:rPr>
        <w:t>.</w:t>
      </w:r>
    </w:p>
    <w:sectPr w:rsidR="00A079AA" w:rsidRPr="00A079A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104DBD"/>
    <w:rsid w:val="00023EF3"/>
    <w:rsid w:val="00063682"/>
    <w:rsid w:val="000836D3"/>
    <w:rsid w:val="00090C6D"/>
    <w:rsid w:val="000A2298"/>
    <w:rsid w:val="000A4CBE"/>
    <w:rsid w:val="00104DAC"/>
    <w:rsid w:val="001568ED"/>
    <w:rsid w:val="001A2576"/>
    <w:rsid w:val="001E68C4"/>
    <w:rsid w:val="00205473"/>
    <w:rsid w:val="002175BE"/>
    <w:rsid w:val="002343BB"/>
    <w:rsid w:val="002C3843"/>
    <w:rsid w:val="002C3F40"/>
    <w:rsid w:val="002D5407"/>
    <w:rsid w:val="003001E7"/>
    <w:rsid w:val="003137E2"/>
    <w:rsid w:val="003321A2"/>
    <w:rsid w:val="003364EB"/>
    <w:rsid w:val="00361B26"/>
    <w:rsid w:val="003C3021"/>
    <w:rsid w:val="003E3904"/>
    <w:rsid w:val="004043DF"/>
    <w:rsid w:val="004118C4"/>
    <w:rsid w:val="00442EB4"/>
    <w:rsid w:val="004962BE"/>
    <w:rsid w:val="004A72E5"/>
    <w:rsid w:val="004C417D"/>
    <w:rsid w:val="004E2C2F"/>
    <w:rsid w:val="00506FCF"/>
    <w:rsid w:val="00526334"/>
    <w:rsid w:val="00543740"/>
    <w:rsid w:val="0056054E"/>
    <w:rsid w:val="00585C6A"/>
    <w:rsid w:val="005B3279"/>
    <w:rsid w:val="005B4422"/>
    <w:rsid w:val="005F1BE4"/>
    <w:rsid w:val="0061149B"/>
    <w:rsid w:val="00647599"/>
    <w:rsid w:val="0065156A"/>
    <w:rsid w:val="00675EED"/>
    <w:rsid w:val="006C1F9E"/>
    <w:rsid w:val="007037B0"/>
    <w:rsid w:val="00734FEA"/>
    <w:rsid w:val="0074068F"/>
    <w:rsid w:val="00751993"/>
    <w:rsid w:val="00780D69"/>
    <w:rsid w:val="00786942"/>
    <w:rsid w:val="00790A73"/>
    <w:rsid w:val="00796999"/>
    <w:rsid w:val="007B08A0"/>
    <w:rsid w:val="007B2E2D"/>
    <w:rsid w:val="007F69D1"/>
    <w:rsid w:val="00800BC8"/>
    <w:rsid w:val="00810C0D"/>
    <w:rsid w:val="00824B3F"/>
    <w:rsid w:val="008456A4"/>
    <w:rsid w:val="00851BE6"/>
    <w:rsid w:val="008800A6"/>
    <w:rsid w:val="008E6BD6"/>
    <w:rsid w:val="00924219"/>
    <w:rsid w:val="009254E5"/>
    <w:rsid w:val="009311E1"/>
    <w:rsid w:val="00947582"/>
    <w:rsid w:val="00954CB2"/>
    <w:rsid w:val="00955F34"/>
    <w:rsid w:val="00956DCD"/>
    <w:rsid w:val="0098052B"/>
    <w:rsid w:val="009827E7"/>
    <w:rsid w:val="00986007"/>
    <w:rsid w:val="009B1459"/>
    <w:rsid w:val="009D421D"/>
    <w:rsid w:val="009D46DA"/>
    <w:rsid w:val="009E3382"/>
    <w:rsid w:val="00A079AA"/>
    <w:rsid w:val="00A13002"/>
    <w:rsid w:val="00A60F8D"/>
    <w:rsid w:val="00A73260"/>
    <w:rsid w:val="00A74447"/>
    <w:rsid w:val="00A91926"/>
    <w:rsid w:val="00AB384D"/>
    <w:rsid w:val="00AB52D0"/>
    <w:rsid w:val="00B01FC2"/>
    <w:rsid w:val="00B0216D"/>
    <w:rsid w:val="00B0507E"/>
    <w:rsid w:val="00B100C6"/>
    <w:rsid w:val="00B922D3"/>
    <w:rsid w:val="00C031BF"/>
    <w:rsid w:val="00C12B34"/>
    <w:rsid w:val="00C15BB2"/>
    <w:rsid w:val="00C41823"/>
    <w:rsid w:val="00C7426A"/>
    <w:rsid w:val="00C74409"/>
    <w:rsid w:val="00CB1BD7"/>
    <w:rsid w:val="00CB4F94"/>
    <w:rsid w:val="00CC51B0"/>
    <w:rsid w:val="00CD389E"/>
    <w:rsid w:val="00D23F03"/>
    <w:rsid w:val="00D419D2"/>
    <w:rsid w:val="00D61BF3"/>
    <w:rsid w:val="00DB7BC8"/>
    <w:rsid w:val="00DD29F0"/>
    <w:rsid w:val="00DE4F8B"/>
    <w:rsid w:val="00DF4EB8"/>
    <w:rsid w:val="00E013E9"/>
    <w:rsid w:val="00E3227B"/>
    <w:rsid w:val="00E34CE1"/>
    <w:rsid w:val="00E40DB0"/>
    <w:rsid w:val="00E4247E"/>
    <w:rsid w:val="00E570A5"/>
    <w:rsid w:val="00E970F0"/>
    <w:rsid w:val="00EA3676"/>
    <w:rsid w:val="00ED1935"/>
    <w:rsid w:val="00EF0DAF"/>
    <w:rsid w:val="00EF7B13"/>
    <w:rsid w:val="00F040F6"/>
    <w:rsid w:val="00F04EDA"/>
    <w:rsid w:val="00F32E41"/>
    <w:rsid w:val="00F379BA"/>
    <w:rsid w:val="0BADB185"/>
    <w:rsid w:val="33D1181B"/>
    <w:rsid w:val="53104DBD"/>
    <w:rsid w:val="55EC8A72"/>
    <w:rsid w:val="67BB9EAE"/>
    <w:rsid w:val="788A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04DBD"/>
  <w15:chartTrackingRefBased/>
  <w15:docId w15:val="{A3C4171D-8716-43D8-89D9-EE58605A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2BE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60F8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92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2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22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2D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969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E2C2D-D6D4-43E6-9571-1C17D2C1B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C55115-B4C5-46E8-9DDE-F058653BDC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22063A7F-4DE0-452E-8143-0E022C7ACAD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6127DE-B7AD-44E6-B3F4-18718789A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758</Words>
  <Characters>4326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3</cp:revision>
  <dcterms:created xsi:type="dcterms:W3CDTF">2025-10-13T15:25:00Z</dcterms:created>
  <dcterms:modified xsi:type="dcterms:W3CDTF">2025-11-03T09:31:00Z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